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2C7A" w:rsidRDefault="008F638D">
      <w:r>
        <w:t>Dziedziczne zaniki nerwów wzrokowych – nowe perspektywy</w:t>
      </w:r>
    </w:p>
    <w:p w:rsidR="00F5504A" w:rsidRDefault="00F5504A" w:rsidP="00F5504A">
      <w:pPr>
        <w:jc w:val="both"/>
        <w:rPr>
          <w:lang w:val="en-US"/>
        </w:rPr>
      </w:pPr>
      <w:r w:rsidRPr="00F5504A">
        <w:rPr>
          <w:lang w:val="en-US"/>
        </w:rPr>
        <w:t xml:space="preserve">Hereditary optic nerve </w:t>
      </w:r>
      <w:r>
        <w:rPr>
          <w:lang w:val="en-US"/>
        </w:rPr>
        <w:t>atrop</w:t>
      </w:r>
      <w:r w:rsidRPr="00F5504A">
        <w:rPr>
          <w:lang w:val="en-US"/>
        </w:rPr>
        <w:t xml:space="preserve">hies – </w:t>
      </w:r>
      <w:r w:rsidR="00B01987">
        <w:rPr>
          <w:lang w:val="en-US"/>
        </w:rPr>
        <w:t xml:space="preserve">the </w:t>
      </w:r>
      <w:r w:rsidRPr="00F5504A">
        <w:rPr>
          <w:lang w:val="en-US"/>
        </w:rPr>
        <w:t>new p</w:t>
      </w:r>
      <w:r>
        <w:rPr>
          <w:lang w:val="en-US"/>
        </w:rPr>
        <w:t>erspectives</w:t>
      </w:r>
    </w:p>
    <w:p w:rsidR="00F5504A" w:rsidRPr="00F5504A" w:rsidRDefault="00F5504A">
      <w:pPr>
        <w:rPr>
          <w:lang w:val="en-US"/>
        </w:rPr>
      </w:pPr>
    </w:p>
    <w:p w:rsidR="008F638D" w:rsidRDefault="008F638D">
      <w:r>
        <w:t>Maciej R. Krawczyński</w:t>
      </w:r>
    </w:p>
    <w:p w:rsidR="008F638D" w:rsidRDefault="008F638D">
      <w:r>
        <w:t>Katedra i Zakład Genetyki Medycznej, Uniwersytet Medyczny im. K. Marcinkowskiego w Poznaniu</w:t>
      </w:r>
    </w:p>
    <w:p w:rsidR="008F638D" w:rsidRDefault="008F638D">
      <w:r>
        <w:t>Diagnostyka Genesis, sp. z o.o., Poznań</w:t>
      </w:r>
    </w:p>
    <w:p w:rsidR="008F638D" w:rsidRDefault="008F638D"/>
    <w:p w:rsidR="008F638D" w:rsidRDefault="008F638D" w:rsidP="008F638D">
      <w:pPr>
        <w:jc w:val="both"/>
      </w:pPr>
      <w:r>
        <w:t xml:space="preserve">Dziedziczne zaniki nerwów wzrokowych uchodziły dotąd za nieuleczalne, postępujące choroby nerwów wzrokowych, warunkowane bądź mutacjami punktowymi mtDNA (zanik nerwów wzrokowych Lebera, LHON), bądź mutacjami genu </w:t>
      </w:r>
      <w:r w:rsidRPr="008F638D">
        <w:rPr>
          <w:i/>
        </w:rPr>
        <w:t>OPA1</w:t>
      </w:r>
      <w:r>
        <w:t xml:space="preserve"> (zanik nerwów wzrokowych Kjera, ADOA). Dane z ostatnich lat</w:t>
      </w:r>
      <w:r w:rsidR="00B01987">
        <w:t>,</w:t>
      </w:r>
      <w:r>
        <w:t xml:space="preserve"> oparte na badaniach NGS dużych grup pacjentów wykazały, że etiologia tej grupy chorób jest bardziej złożona. Zidentyfikowano kilkanaście genów, które poza genem </w:t>
      </w:r>
      <w:r w:rsidRPr="008F638D">
        <w:rPr>
          <w:i/>
        </w:rPr>
        <w:t>OPA1</w:t>
      </w:r>
      <w:r>
        <w:t xml:space="preserve"> mogą odpowiadać za ADOA, a ponadto zidentyfikowano autosomalną recesywną postać LHON</w:t>
      </w:r>
      <w:r w:rsidR="00B01987">
        <w:t>,</w:t>
      </w:r>
      <w:r>
        <w:t xml:space="preserve"> powodowaną mutacjami genu </w:t>
      </w:r>
      <w:r w:rsidRPr="008F638D">
        <w:rPr>
          <w:i/>
        </w:rPr>
        <w:t>DNAJC30</w:t>
      </w:r>
      <w:r>
        <w:t>. Ta choroba jest dla nas szczególnie ważna, ponieważ szybko okazała się być „polską specjalnością”.</w:t>
      </w:r>
    </w:p>
    <w:p w:rsidR="008F638D" w:rsidRDefault="008F638D" w:rsidP="008F638D">
      <w:pPr>
        <w:jc w:val="both"/>
      </w:pPr>
      <w:r>
        <w:t>Poczynione zostały również duże postępy w leczeniu tej grupy chorób. Przeprowadzone badania kliniczne wykazały istotną, choć zależną od typu mutacji przyczynowej</w:t>
      </w:r>
      <w:r w:rsidR="00F5504A">
        <w:t xml:space="preserve"> i czasu włączenia</w:t>
      </w:r>
      <w:r>
        <w:t>, skuteczność leczenia LHON przy pomocy idebenonu</w:t>
      </w:r>
      <w:r w:rsidR="00F5504A">
        <w:t>. Sięga ona 80%</w:t>
      </w:r>
      <w:r w:rsidR="00B01987">
        <w:t xml:space="preserve"> u </w:t>
      </w:r>
      <w:r w:rsidR="00F5504A">
        <w:t xml:space="preserve"> pacjentów z autosomalną recesywną postacią LHON. Jednocześnie opracowano i poddano badaniom klinicznym terapię genową dla najczęstszej mutacji przyczynowej m.11778G&gt;A mtDNA w klasycznej postaci LHON. Obecnie jest ona w trakcie bada</w:t>
      </w:r>
      <w:r w:rsidR="00B01987">
        <w:t>ń</w:t>
      </w:r>
      <w:r w:rsidR="00F5504A">
        <w:t xml:space="preserve"> rejestracyjny</w:t>
      </w:r>
      <w:r w:rsidR="00B01987">
        <w:t>ch</w:t>
      </w:r>
      <w:r w:rsidR="00F5504A">
        <w:t>.</w:t>
      </w:r>
    </w:p>
    <w:p w:rsidR="008F638D" w:rsidRDefault="00F5504A" w:rsidP="00F5504A">
      <w:pPr>
        <w:jc w:val="both"/>
      </w:pPr>
      <w:r>
        <w:t>Ekscytującą</w:t>
      </w:r>
      <w:r w:rsidR="00B01987">
        <w:t>, nową</w:t>
      </w:r>
      <w:r>
        <w:t xml:space="preserve"> możliwością staje się też regeneracja nerwów wzrokowych drogą reprogramowania komórek zwojowych siatkówki w pluripotencjalne indukowane komórki macierzyste i przywracania im możliwości podziałów.</w:t>
      </w:r>
    </w:p>
    <w:p w:rsidR="00F5504A" w:rsidRDefault="00F5504A" w:rsidP="00F5504A">
      <w:pPr>
        <w:jc w:val="both"/>
      </w:pPr>
    </w:p>
    <w:p w:rsidR="00F5504A" w:rsidRDefault="00F5504A" w:rsidP="00F5504A">
      <w:pPr>
        <w:jc w:val="both"/>
        <w:rPr>
          <w:lang w:val="en-US"/>
        </w:rPr>
      </w:pPr>
      <w:r>
        <w:rPr>
          <w:lang w:val="en-US"/>
        </w:rPr>
        <w:t xml:space="preserve">Until now, hereditary optic nerve atrophies were thought to be a group of untreatable, progressive disorders of the optic nerves, that are caused by mtDNA point mutations (Leber </w:t>
      </w:r>
      <w:r w:rsidR="00CE1818">
        <w:rPr>
          <w:lang w:val="en-US"/>
        </w:rPr>
        <w:t>hereditary</w:t>
      </w:r>
      <w:r>
        <w:rPr>
          <w:lang w:val="en-US"/>
        </w:rPr>
        <w:t xml:space="preserve"> optic neuropathy, LHON)</w:t>
      </w:r>
      <w:r w:rsidR="00CE1818">
        <w:rPr>
          <w:lang w:val="en-US"/>
        </w:rPr>
        <w:t xml:space="preserve"> or </w:t>
      </w:r>
      <w:r w:rsidR="00CE1818" w:rsidRPr="00CE1818">
        <w:rPr>
          <w:i/>
          <w:lang w:val="en-US"/>
        </w:rPr>
        <w:t>OPA1</w:t>
      </w:r>
      <w:r w:rsidR="00CE1818">
        <w:rPr>
          <w:lang w:val="en-US"/>
        </w:rPr>
        <w:t xml:space="preserve"> gene mutations (</w:t>
      </w:r>
      <w:proofErr w:type="spellStart"/>
      <w:r w:rsidR="00CE1818">
        <w:rPr>
          <w:lang w:val="en-US"/>
        </w:rPr>
        <w:t>Kjer</w:t>
      </w:r>
      <w:proofErr w:type="spellEnd"/>
      <w:r w:rsidR="00CE1818">
        <w:rPr>
          <w:lang w:val="en-US"/>
        </w:rPr>
        <w:t xml:space="preserve"> optic nerve atrophy, ADOA). Data from</w:t>
      </w:r>
      <w:r w:rsidR="00B01987">
        <w:rPr>
          <w:lang w:val="en-US"/>
        </w:rPr>
        <w:t xml:space="preserve"> the</w:t>
      </w:r>
      <w:r w:rsidR="00CE1818">
        <w:rPr>
          <w:lang w:val="en-US"/>
        </w:rPr>
        <w:t xml:space="preserve"> last years collected from NGS studies of large groups of patients have shown that etiology of this group of disorders is much more complicated. Over a dozen of genes </w:t>
      </w:r>
      <w:r w:rsidR="00CE1818">
        <w:rPr>
          <w:lang w:val="en-US"/>
        </w:rPr>
        <w:t xml:space="preserve">(besides </w:t>
      </w:r>
      <w:r w:rsidR="00CE1818" w:rsidRPr="00CE1818">
        <w:rPr>
          <w:i/>
          <w:lang w:val="en-US"/>
        </w:rPr>
        <w:t>OPA1</w:t>
      </w:r>
      <w:r w:rsidR="00CE1818">
        <w:rPr>
          <w:lang w:val="en-US"/>
        </w:rPr>
        <w:t xml:space="preserve"> gene)</w:t>
      </w:r>
      <w:r w:rsidR="00CE1818">
        <w:rPr>
          <w:lang w:val="en-US"/>
        </w:rPr>
        <w:t xml:space="preserve"> that can cause ADOA</w:t>
      </w:r>
      <w:r w:rsidR="00CE1818" w:rsidRPr="00CE1818">
        <w:rPr>
          <w:lang w:val="en-US"/>
        </w:rPr>
        <w:t xml:space="preserve"> </w:t>
      </w:r>
      <w:r w:rsidR="00CE1818">
        <w:rPr>
          <w:lang w:val="en-US"/>
        </w:rPr>
        <w:t>are identified</w:t>
      </w:r>
      <w:r w:rsidR="00CE1818">
        <w:rPr>
          <w:lang w:val="en-US"/>
        </w:rPr>
        <w:t>. Additionally, a new autosomal recessive form of LHON caused by mutations in the</w:t>
      </w:r>
      <w:r w:rsidR="00CE1818" w:rsidRPr="00CE1818">
        <w:rPr>
          <w:i/>
          <w:lang w:val="en-US"/>
        </w:rPr>
        <w:t xml:space="preserve"> DNAJC30</w:t>
      </w:r>
      <w:r w:rsidR="00CE1818">
        <w:rPr>
          <w:lang w:val="en-US"/>
        </w:rPr>
        <w:t xml:space="preserve"> gene was </w:t>
      </w:r>
      <w:r w:rsidR="00B01987">
        <w:rPr>
          <w:lang w:val="en-US"/>
        </w:rPr>
        <w:t xml:space="preserve">also </w:t>
      </w:r>
      <w:r w:rsidR="00CE1818">
        <w:rPr>
          <w:lang w:val="en-US"/>
        </w:rPr>
        <w:t>recognized. This disorder is extremely important for us because it has quickly appeared to be a “Polish specialty”.</w:t>
      </w:r>
    </w:p>
    <w:p w:rsidR="00CE1818" w:rsidRDefault="00CE1818" w:rsidP="00F5504A">
      <w:pPr>
        <w:jc w:val="both"/>
        <w:rPr>
          <w:lang w:val="en-US"/>
        </w:rPr>
      </w:pPr>
      <w:r>
        <w:rPr>
          <w:lang w:val="en-US"/>
        </w:rPr>
        <w:t>Important progress in treatment of this group of disorders is also noted.  Clinical studies have shown  significant, but type of mutation dependent, eff</w:t>
      </w:r>
      <w:r w:rsidR="00B01987">
        <w:rPr>
          <w:lang w:val="en-US"/>
        </w:rPr>
        <w:t>icacy</w:t>
      </w:r>
      <w:r>
        <w:rPr>
          <w:lang w:val="en-US"/>
        </w:rPr>
        <w:t xml:space="preserve"> of LHON treatment using idebenone. It reaches a level of 80% in patients with </w:t>
      </w:r>
      <w:r w:rsidR="00B01987">
        <w:rPr>
          <w:lang w:val="en-US"/>
        </w:rPr>
        <w:t xml:space="preserve">an </w:t>
      </w:r>
      <w:r>
        <w:rPr>
          <w:lang w:val="en-US"/>
        </w:rPr>
        <w:t xml:space="preserve">autosomal recessive form of LHON. Simultaneously, a gene therapy for the most frequent causative </w:t>
      </w:r>
      <w:r w:rsidR="00B01987">
        <w:rPr>
          <w:lang w:val="en-US"/>
        </w:rPr>
        <w:t xml:space="preserve">mtDNA </w:t>
      </w:r>
      <w:r>
        <w:rPr>
          <w:lang w:val="en-US"/>
        </w:rPr>
        <w:t>mutation m.11778G&gt;A</w:t>
      </w:r>
      <w:r w:rsidR="00B01987">
        <w:rPr>
          <w:lang w:val="en-US"/>
        </w:rPr>
        <w:t xml:space="preserve"> in a classic form of</w:t>
      </w:r>
      <w:r w:rsidR="00B01987" w:rsidRPr="00B01987">
        <w:rPr>
          <w:lang w:val="en-US"/>
        </w:rPr>
        <w:t xml:space="preserve"> </w:t>
      </w:r>
      <w:r w:rsidR="00B01987">
        <w:rPr>
          <w:lang w:val="en-US"/>
        </w:rPr>
        <w:t>LHON</w:t>
      </w:r>
      <w:r w:rsidR="00B01987">
        <w:rPr>
          <w:lang w:val="en-US"/>
        </w:rPr>
        <w:t xml:space="preserve"> is elaborated. Currently it is under registration clinical studies.</w:t>
      </w:r>
    </w:p>
    <w:p w:rsidR="00CE1818" w:rsidRPr="00F5504A" w:rsidRDefault="00B01987">
      <w:pPr>
        <w:jc w:val="both"/>
        <w:rPr>
          <w:lang w:val="en-US"/>
        </w:rPr>
      </w:pPr>
      <w:r>
        <w:rPr>
          <w:lang w:val="en-US"/>
        </w:rPr>
        <w:t>An exciting new possibility is optic nerve regeneration based on retinal ganglion cells reprogramming towards induced pluripotent stem cells and restoring their ability to divide.</w:t>
      </w:r>
      <w:bookmarkStart w:id="0" w:name="_GoBack"/>
      <w:bookmarkEnd w:id="0"/>
    </w:p>
    <w:sectPr w:rsidR="00CE1818" w:rsidRPr="00F550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38D"/>
    <w:rsid w:val="00062C7A"/>
    <w:rsid w:val="008F638D"/>
    <w:rsid w:val="00B01987"/>
    <w:rsid w:val="00CE1818"/>
    <w:rsid w:val="00F5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6F65A"/>
  <w15:chartTrackingRefBased/>
  <w15:docId w15:val="{B5C75DBE-FB6D-433A-8937-356C7B56B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429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Krawczyński</dc:creator>
  <cp:keywords/>
  <dc:description/>
  <cp:lastModifiedBy>Maciej Krawczyński</cp:lastModifiedBy>
  <cp:revision>1</cp:revision>
  <dcterms:created xsi:type="dcterms:W3CDTF">2026-07-03T07:52:00Z</dcterms:created>
  <dcterms:modified xsi:type="dcterms:W3CDTF">2026-07-03T08:32:00Z</dcterms:modified>
</cp:coreProperties>
</file>