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4E2F" w:rsidRDefault="00974C91">
      <w:r w:rsidRPr="00974C91">
        <w:t xml:space="preserve">Prof. dr hab. med. </w:t>
      </w:r>
      <w:r>
        <w:t>M</w:t>
      </w:r>
      <w:r w:rsidRPr="00974C91">
        <w:t>aciej R. Kra</w:t>
      </w:r>
      <w:r>
        <w:t>wczyński</w:t>
      </w:r>
    </w:p>
    <w:p w:rsidR="00974C91" w:rsidRPr="00974C91" w:rsidRDefault="00974C91" w:rsidP="005842BE">
      <w:pPr>
        <w:jc w:val="both"/>
      </w:pPr>
      <w:r>
        <w:t xml:space="preserve">Absolwent </w:t>
      </w:r>
      <w:r w:rsidR="005842BE">
        <w:t>Wydziału</w:t>
      </w:r>
      <w:r>
        <w:t xml:space="preserve"> </w:t>
      </w:r>
      <w:r w:rsidR="005842BE">
        <w:t>L</w:t>
      </w:r>
      <w:r>
        <w:t>ekarskiego Uniwersytetu Medycznego w Poznaniu</w:t>
      </w:r>
      <w:r w:rsidR="00870FC4">
        <w:t xml:space="preserve"> (1991) </w:t>
      </w:r>
      <w:r w:rsidR="009446CC">
        <w:t xml:space="preserve">, specjalista okulistyki i genetyki </w:t>
      </w:r>
      <w:r w:rsidR="005842BE">
        <w:t>klinicznej</w:t>
      </w:r>
      <w:r w:rsidR="009446CC">
        <w:t>.</w:t>
      </w:r>
      <w:r w:rsidR="005842BE">
        <w:t xml:space="preserve"> </w:t>
      </w:r>
      <w:r w:rsidR="00870FC4">
        <w:t xml:space="preserve">Kierownik Katedry i Zakładu Genetyki Medycznej Uniwersytetu Medycznego w Poznaniu. </w:t>
      </w:r>
      <w:r w:rsidR="00B73355">
        <w:t xml:space="preserve">Wieloletni członek Zarządu Polskiego Towarzystwa Genetyki Człowieka. Konsultant wojewódzki w zakresie genetyki klinicznej dla województwa wielkopolskiego i lubuskiego. </w:t>
      </w:r>
      <w:r w:rsidR="005842BE">
        <w:t>Pionier diagnostyki i poradnictwa genetycznego w zakresie genetycznie uwarunkowanych chorób narządu wzroku w Polsce. Autor jedynego w języku polskim i trzeciego na świecie podręcznika oftalmogenetyki. Swoje zainteresowania</w:t>
      </w:r>
      <w:r w:rsidR="00870FC4">
        <w:t xml:space="preserve"> kliniczne i naukowe koncentruje na chorobach dystroficznych siatkówki, dziedzicznych neuropatiach nerwów wzrokowych oraz wrodzonych wadach  rozwojowych oczu. Autor i współautor ponad 160 publikacji pełnotekstowych, w większości w recenzowanych czasopismach anglojęzycznych.</w:t>
      </w:r>
      <w:bookmarkStart w:id="0" w:name="_GoBack"/>
      <w:bookmarkEnd w:id="0"/>
    </w:p>
    <w:sectPr w:rsidR="00974C91" w:rsidRPr="00974C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C91"/>
    <w:rsid w:val="005842BE"/>
    <w:rsid w:val="00870FC4"/>
    <w:rsid w:val="009446CC"/>
    <w:rsid w:val="00974C91"/>
    <w:rsid w:val="00A44E2F"/>
    <w:rsid w:val="00B73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495DCE-4C96-4E05-BDEF-13086233B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130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Krawczyński</dc:creator>
  <cp:keywords/>
  <dc:description/>
  <cp:lastModifiedBy>Maciej Krawczyński</cp:lastModifiedBy>
  <cp:revision>2</cp:revision>
  <dcterms:created xsi:type="dcterms:W3CDTF">2026-07-03T05:57:00Z</dcterms:created>
  <dcterms:modified xsi:type="dcterms:W3CDTF">2026-07-03T08:33:00Z</dcterms:modified>
</cp:coreProperties>
</file>